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4D" w:rsidRDefault="005D3814" w:rsidP="00691F10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5D381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26" style="position:absolute;margin-left:56.7pt;margin-top:19.8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225DA8" w:rsidRPr="00E972A8" w:rsidRDefault="00E972A8" w:rsidP="00225DA8">
                    <w:pPr>
                      <w:pStyle w:val="a6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  <w:t>2</w:t>
                    </w:r>
                  </w:p>
                  <w:p w:rsidR="00225DA8" w:rsidRPr="00EB47E7" w:rsidRDefault="00225DA8" w:rsidP="00225DA8">
                    <w:pPr>
                      <w:pStyle w:val="a6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225DA8" w:rsidRPr="00410658" w:rsidRDefault="00225DA8" w:rsidP="00225DA8">
                    <w:pPr>
                      <w:pStyle w:val="a6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5. 092505 30 04</w:t>
                    </w:r>
                    <w:r w:rsidRPr="00410658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 - ЛР</w:t>
                    </w:r>
                  </w:p>
                  <w:p w:rsidR="00225DA8" w:rsidRPr="00EB47E7" w:rsidRDefault="00225DA8" w:rsidP="00225DA8">
                    <w:pPr>
                      <w:pStyle w:val="a6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691F10">
        <w:rPr>
          <w:rFonts w:ascii="Times New Roman" w:hAnsi="Times New Roman" w:cs="Times New Roman"/>
          <w:sz w:val="28"/>
          <w:szCs w:val="28"/>
          <w:lang w:val="uk-UA"/>
        </w:rPr>
        <w:t xml:space="preserve">Умовний опір ізоляції ізолюючого  </w:t>
      </w:r>
      <w:proofErr w:type="spellStart"/>
      <w:r w:rsidR="00691F10">
        <w:rPr>
          <w:rFonts w:ascii="Times New Roman" w:hAnsi="Times New Roman" w:cs="Times New Roman"/>
          <w:sz w:val="28"/>
          <w:szCs w:val="28"/>
          <w:lang w:val="uk-UA"/>
        </w:rPr>
        <w:t>стика</w:t>
      </w:r>
      <w:proofErr w:type="spellEnd"/>
      <w:r w:rsidR="00691F10">
        <w:rPr>
          <w:rFonts w:ascii="Times New Roman" w:hAnsi="Times New Roman" w:cs="Times New Roman"/>
          <w:sz w:val="28"/>
          <w:szCs w:val="28"/>
          <w:lang w:val="uk-UA"/>
        </w:rPr>
        <w:t xml:space="preserve">  50 Ом взято тільки для </w:t>
      </w:r>
      <w:proofErr w:type="spellStart"/>
      <w:r w:rsidR="00691F10">
        <w:rPr>
          <w:rFonts w:ascii="Times New Roman" w:hAnsi="Times New Roman" w:cs="Times New Roman"/>
          <w:sz w:val="28"/>
          <w:szCs w:val="28"/>
          <w:lang w:val="uk-UA"/>
        </w:rPr>
        <w:t>удобства</w:t>
      </w:r>
      <w:proofErr w:type="spellEnd"/>
      <w:r w:rsidR="00691F10">
        <w:rPr>
          <w:rFonts w:ascii="Times New Roman" w:hAnsi="Times New Roman" w:cs="Times New Roman"/>
          <w:sz w:val="28"/>
          <w:szCs w:val="28"/>
          <w:lang w:val="uk-UA"/>
        </w:rPr>
        <w:t xml:space="preserve"> вимірювань,щоб переконатися у відсутності </w:t>
      </w:r>
      <w:proofErr w:type="spellStart"/>
      <w:r w:rsidR="00691F10">
        <w:rPr>
          <w:rFonts w:ascii="Times New Roman" w:hAnsi="Times New Roman" w:cs="Times New Roman"/>
          <w:sz w:val="28"/>
          <w:szCs w:val="28"/>
          <w:lang w:val="uk-UA"/>
        </w:rPr>
        <w:t>пробоя</w:t>
      </w:r>
      <w:proofErr w:type="spellEnd"/>
      <w:r w:rsidR="00691F10">
        <w:rPr>
          <w:rFonts w:ascii="Times New Roman" w:hAnsi="Times New Roman" w:cs="Times New Roman"/>
          <w:sz w:val="28"/>
          <w:szCs w:val="28"/>
          <w:lang w:val="uk-UA"/>
        </w:rPr>
        <w:t xml:space="preserve"> цієї  ізоляції. Для вимірювання опору ізоляції треба паралельно вимірювальному приладу підключити шунт опором 51 Ом. При автономній  тязі  вимірювання </w:t>
      </w:r>
      <w:proofErr w:type="spellStart"/>
      <w:r w:rsidR="00691F10">
        <w:rPr>
          <w:rFonts w:ascii="Times New Roman" w:hAnsi="Times New Roman" w:cs="Times New Roman"/>
          <w:sz w:val="28"/>
          <w:szCs w:val="28"/>
          <w:lang w:val="uk-UA"/>
        </w:rPr>
        <w:t>стика</w:t>
      </w:r>
      <w:proofErr w:type="spellEnd"/>
      <w:r w:rsidR="00691F10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proofErr w:type="spellStart"/>
      <w:r w:rsidR="00691F10">
        <w:rPr>
          <w:rFonts w:ascii="Times New Roman" w:hAnsi="Times New Roman" w:cs="Times New Roman"/>
          <w:sz w:val="28"/>
          <w:szCs w:val="28"/>
          <w:lang w:val="uk-UA"/>
        </w:rPr>
        <w:t>сводиться</w:t>
      </w:r>
      <w:proofErr w:type="spellEnd"/>
      <w:r w:rsidR="00691F10">
        <w:rPr>
          <w:rFonts w:ascii="Times New Roman" w:hAnsi="Times New Roman" w:cs="Times New Roman"/>
          <w:sz w:val="28"/>
          <w:szCs w:val="28"/>
          <w:lang w:val="uk-UA"/>
        </w:rPr>
        <w:t xml:space="preserve"> к визначенню напруги (рис.1)                                                                    </w:t>
      </w:r>
      <w:r w:rsidR="00691F10" w:rsidRPr="00691F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1F10">
        <w:rPr>
          <w:rFonts w:ascii="Times New Roman" w:hAnsi="Times New Roman" w:cs="Times New Roman"/>
          <w:sz w:val="28"/>
          <w:szCs w:val="28"/>
          <w:lang w:val="uk-UA"/>
        </w:rPr>
        <w:t xml:space="preserve">Якщо напруга 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р2н1</m:t>
            </m:r>
          </m:sub>
          <m:sup/>
        </m:sSubSup>
        <m:r>
          <w:rPr>
            <w:rFonts w:ascii="Cambria Math" w:hAnsi="Cambria Math" w:cs="Times New Roman"/>
            <w:sz w:val="28"/>
            <w:szCs w:val="28"/>
            <w:lang w:val="uk-UA"/>
          </w:rPr>
          <m:t>&lt;0,5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р1р2</m:t>
            </m:r>
          </m:sub>
          <m:sup/>
        </m:sSubSup>
      </m:oMath>
      <w:r w:rsidR="00691F1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р2н2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&lt;0,5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р1р2</m:t>
            </m:r>
          </m:sub>
          <m:sup/>
        </m:sSubSup>
      </m:oMath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а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р4н1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&lt;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0,5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р3р4</m:t>
            </m:r>
          </m:sub>
          <m:sup/>
        </m:sSubSup>
      </m:oMath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р4н2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&lt;0,5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р3р4</m:t>
            </m:r>
          </m:sub>
          <m:sup/>
        </m:sSubSup>
      </m:oMath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то опір ізоляції накладок Н1 і Н2 відносно рейкових ниток  Р1 і Р3 більше 50 Ом. Якщо хоч одне з нерівностей не виконується,то ізоляція накладок Н1 і Н2 відносно рейки Р1 або Р3 </w:t>
      </w:r>
      <w:proofErr w:type="spellStart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>нарушена</w:t>
      </w:r>
      <w:proofErr w:type="spellEnd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                           Аналогічно  визначають справність ізолюючого </w:t>
      </w:r>
      <w:proofErr w:type="spellStart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>стика</w:t>
      </w:r>
      <w:proofErr w:type="spellEnd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2.                                Вказаний  метод  вимірювання </w:t>
      </w:r>
      <w:proofErr w:type="spellStart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>основан</w:t>
      </w:r>
      <w:proofErr w:type="spellEnd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 тому,що напруга між рейками прикладається к послідовній схемі з опору вимірювального </w:t>
      </w:r>
      <w:r w:rsidR="00BF570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>прилада</w:t>
      </w:r>
      <w:proofErr w:type="spellEnd"/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BF570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002A4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підключеного </w:t>
      </w:r>
      <w:r w:rsidR="00BF570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до однієї  рейкової  нитки  і  накладки, і  опору ізоляції між цією накладкою і протилежною рейкою. Чим більший опір ізоляції між накладкою і рейкою,тим </w:t>
      </w:r>
      <w:proofErr w:type="spellStart"/>
      <w:r w:rsidR="00BF5708">
        <w:rPr>
          <w:rFonts w:ascii="Times New Roman" w:eastAsiaTheme="minorEastAsia" w:hAnsi="Times New Roman" w:cs="Times New Roman"/>
          <w:sz w:val="28"/>
          <w:szCs w:val="28"/>
          <w:lang w:val="uk-UA"/>
        </w:rPr>
        <w:t>меньша</w:t>
      </w:r>
      <w:proofErr w:type="spellEnd"/>
      <w:r w:rsidR="00BF570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напруга на вимірювальному приладі, підключеного між цією накладкою і протилежною рейкою.                         Опір ізоляції  між відповідними накладками і рейками.</w:t>
      </w:r>
    </w:p>
    <w:p w:rsidR="00BF5708" w:rsidRPr="00B26DFF" w:rsidRDefault="005D3814" w:rsidP="00691F10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р1н1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р1р2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р2н1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 w:rsidR="00BF570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р1н2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р1р2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р2н2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 w:rsidR="00225D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</w:p>
    <w:p w:rsidR="00225DA8" w:rsidRPr="00B26DFF" w:rsidRDefault="005D3814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р3н1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р3р4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р4н1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 w:rsidR="00225D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225DA8" w:rsidRP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р3н2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р3р4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р4н2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 w:rsidR="00225D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225DA8" w:rsidRP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225DA8" w:rsidRPr="00B26DFF" w:rsidRDefault="00225DA8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р2н3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р1р2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р1н3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P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р2н4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р1р2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р1н4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P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</w:t>
      </w:r>
    </w:p>
    <w:p w:rsidR="00225DA8" w:rsidRPr="00B26DFF" w:rsidRDefault="005D3814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р4н3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р3р4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р3н3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 w:rsidR="00225D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225DA8" w:rsidRP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р4н4</m:t>
            </m:r>
          </m:sub>
          <m:sup/>
        </m:sSub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вн</m:t>
            </m:r>
          </m:sub>
          <m:sup/>
        </m:sSubSup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р3р4</m:t>
                    </m:r>
                  </m:sub>
                  <m:sup/>
                </m:sSubSup>
              </m:num>
              <m:den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р3н4</m:t>
                    </m:r>
                  </m:sub>
                  <m:sup/>
                </m:sSubSup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-1</m:t>
            </m:r>
          </m:e>
        </m:d>
      </m:oMath>
      <w:r w:rsidR="00225D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225DA8" w:rsidRP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</w:p>
    <w:p w:rsidR="00225DA8" w:rsidRDefault="00225DA8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ізоляції  «рейка-накладка» можна  визначити</w:t>
      </w:r>
      <w:r w:rsidRPr="00225DA8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за допомогою  п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вимірювань (рис.2)  і  послідуючого  розрахунку  за  допомогою  виразів</w:t>
      </w:r>
    </w:p>
    <w:p w:rsidR="00225DA8" w:rsidRDefault="005D3814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р1н1</m:t>
              </m:r>
            </m:sub>
            <m:sup/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р1р2</m:t>
                      </m:r>
                    </m:sub>
                    <m:sup/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р1н1</m:t>
                          </m:r>
                        </m:sub>
                        <m:sup/>
                      </m:sSub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р2н1</m:t>
                          </m:r>
                        </m:sub>
                        <m:sup/>
                      </m:sSubSup>
                    </m:e>
                  </m:d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р2н1</m:t>
                      </m:r>
                    </m:sub>
                    <m:sup/>
                  </m:sSubSup>
                </m:den>
              </m:f>
            </m:e>
          </m:d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вн</m:t>
              </m:r>
            </m:sub>
            <m:sup/>
          </m:sSubSup>
        </m:oMath>
      </m:oMathPara>
    </w:p>
    <w:p w:rsidR="00225DA8" w:rsidRPr="00225DA8" w:rsidRDefault="00225DA8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br/>
      </w: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р2н1</m:t>
              </m:r>
            </m:sub>
            <m:sup/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р1р2</m:t>
                      </m:r>
                    </m:sub>
                    <m:sup/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р1н1</m:t>
                          </m:r>
                        </m:sub>
                        <m:sup/>
                      </m:sSub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р2н1</m:t>
                          </m:r>
                        </m:sub>
                        <m:sup/>
                      </m:sSubSup>
                    </m:e>
                  </m:d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р1н1</m:t>
                      </m:r>
                    </m:sub>
                    <m:sup/>
                  </m:sSubSup>
                </m:den>
              </m:f>
            </m:e>
          </m:d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вн</m:t>
              </m:r>
            </m:sub>
            <m:sup/>
          </m:sSubSup>
        </m:oMath>
      </m:oMathPara>
    </w:p>
    <w:p w:rsidR="00225DA8" w:rsidRPr="00225DA8" w:rsidRDefault="00225DA8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25DA8" w:rsidRDefault="00225DA8" w:rsidP="00225DA8">
      <w:pP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 w:rsidRPr="00B26DFF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lastRenderedPageBreak/>
        <w:t xml:space="preserve">                                  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br/>
      </w: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р1н2</m:t>
              </m:r>
            </m:sub>
            <m:sup/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р1р2</m:t>
                      </m:r>
                    </m:sub>
                    <m:sup/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р1н2</m:t>
                          </m:r>
                        </m:sub>
                        <m:sup/>
                      </m:sSub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р2н2</m:t>
                          </m:r>
                        </m:sub>
                        <m:sup/>
                      </m:sSubSup>
                    </m:e>
                  </m:d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р2н2</m:t>
                      </m:r>
                    </m:sub>
                    <m:sup/>
                  </m:sSubSup>
                </m:den>
              </m:f>
            </m:e>
          </m:d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вн</m:t>
              </m:r>
            </m:sub>
            <m:sup/>
          </m:sSubSup>
        </m:oMath>
      </m:oMathPara>
    </w:p>
    <w:p w:rsidR="00225DA8" w:rsidRDefault="00225DA8" w:rsidP="00225DA8">
      <w:pP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                                 </w:t>
      </w:r>
      <w:r>
        <w:rPr>
          <w:rFonts w:ascii="Cambria Math" w:eastAsiaTheme="minorEastAsia" w:hAnsi="Cambria Math" w:cs="Times New Roman"/>
          <w:sz w:val="28"/>
          <w:szCs w:val="28"/>
          <w:lang w:val="uk-UA"/>
        </w:rPr>
        <w:br/>
      </w: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р2н2</m:t>
              </m:r>
            </m:sub>
            <m:sup/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р1р2</m:t>
                      </m:r>
                    </m:sub>
                    <m:sup/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uk-UA"/>
                    </w:rPr>
                    <m:t>-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р1н2</m:t>
                          </m:r>
                        </m:sub>
                        <m:sup/>
                      </m:sSub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uk-UA"/>
                            </w:rPr>
                            <m:t>р2н2</m:t>
                          </m:r>
                        </m:sub>
                        <m:sup/>
                      </m:sSubSup>
                    </m:e>
                  </m:d>
                </m:num>
                <m:den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р1н2</m:t>
                      </m:r>
                    </m:sub>
                    <m:sup/>
                  </m:sSubSup>
                </m:den>
              </m:f>
            </m:e>
          </m:d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вн</m:t>
              </m:r>
            </m:sub>
            <m:sup/>
          </m:sSubSup>
        </m:oMath>
      </m:oMathPara>
    </w:p>
    <w:p w:rsidR="00225DA8" w:rsidRPr="00225DA8" w:rsidRDefault="00225DA8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Приведений  спосіб може використовуватися  для вимірювання опору ізоляції  «рейка-накладка»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всіх ізолюючих стиках  на  електрифікованих  дільницях  залізниці, а також  на внутрішніх стиках стрілочної секції  на 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неелектрофікованих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дільницях.                                                                           На стиках  без дросель-трансформаторів даний  спосіб  можна використовувати ,якщо  протилежний  стик  зашунтувати  опором  10 Ом.</w:t>
      </w:r>
    </w:p>
    <w:p w:rsidR="00225DA8" w:rsidRPr="00002A4D" w:rsidRDefault="00225DA8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225DA8" w:rsidRPr="00B26DFF" w:rsidRDefault="00225DA8" w:rsidP="00225DA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25D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B26DFF">
        <w:rPr>
          <w:rFonts w:ascii="Times New Roman" w:eastAsiaTheme="minorEastAsia" w:hAnsi="Times New Roman" w:cs="Times New Roman"/>
          <w:sz w:val="28"/>
          <w:szCs w:val="28"/>
          <w:lang w:val="uk-UA"/>
        </w:rPr>
        <w:t>Таблиця 1</w:t>
      </w:r>
    </w:p>
    <w:tbl>
      <w:tblPr>
        <w:tblStyle w:val="a7"/>
        <w:tblpPr w:leftFromText="180" w:rightFromText="180" w:vertAnchor="text" w:horzAnchor="margin" w:tblpY="12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26DFF" w:rsidTr="00B26DFF">
        <w:tc>
          <w:tcPr>
            <w:tcW w:w="957" w:type="dxa"/>
          </w:tcPr>
          <w:p w:rsidR="00B26DFF" w:rsidRPr="001B4721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р1р2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Default="005D3814" w:rsidP="00B26DFF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р3р4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Default="005D3814" w:rsidP="00B26DFF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р2н1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Pr="001B4721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р2н2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Pr="000718C5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р1н3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Pr="000718C5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р1н4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Pr="000718C5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р4н1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Pr="000718C5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р4н2</m:t>
                    </m:r>
                  </m:sub>
                  <m:sup/>
                </m:sSubSup>
              </m:oMath>
            </m:oMathPara>
          </w:p>
        </w:tc>
        <w:tc>
          <w:tcPr>
            <w:tcW w:w="957" w:type="dxa"/>
          </w:tcPr>
          <w:p w:rsidR="00B26DFF" w:rsidRPr="000718C5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р3н3</m:t>
                    </m:r>
                  </m:sub>
                  <m:sup/>
                </m:sSubSup>
              </m:oMath>
            </m:oMathPara>
          </w:p>
        </w:tc>
        <w:tc>
          <w:tcPr>
            <w:tcW w:w="958" w:type="dxa"/>
          </w:tcPr>
          <w:p w:rsidR="00B26DFF" w:rsidRPr="000718C5" w:rsidRDefault="005D3814" w:rsidP="00B26DFF">
            <w:pPr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р3н4</m:t>
                    </m:r>
                  </m:sub>
                  <m:sup/>
                </m:sSubSup>
              </m:oMath>
            </m:oMathPara>
          </w:p>
        </w:tc>
      </w:tr>
      <w:tr w:rsidR="00B26DFF" w:rsidTr="00B26DFF">
        <w:tc>
          <w:tcPr>
            <w:tcW w:w="957" w:type="dxa"/>
            <w:vAlign w:val="center"/>
          </w:tcPr>
          <w:p w:rsidR="00B26DFF" w:rsidRPr="001B4721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957" w:type="dxa"/>
            <w:vAlign w:val="center"/>
          </w:tcPr>
          <w:p w:rsidR="00B26DFF" w:rsidRPr="000718C5" w:rsidRDefault="00B26DFF" w:rsidP="00B26DFF">
            <w:pPr>
              <w:jc w:val="center"/>
              <w:rPr>
                <w:sz w:val="28"/>
                <w:szCs w:val="28"/>
              </w:rPr>
            </w:pPr>
            <w:r w:rsidRPr="000718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,28</w:t>
            </w:r>
          </w:p>
        </w:tc>
        <w:tc>
          <w:tcPr>
            <w:tcW w:w="957" w:type="dxa"/>
            <w:vAlign w:val="center"/>
          </w:tcPr>
          <w:p w:rsidR="00B26DFF" w:rsidRPr="000718C5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957" w:type="dxa"/>
            <w:vAlign w:val="center"/>
          </w:tcPr>
          <w:p w:rsidR="00B26DFF" w:rsidRPr="000718C5" w:rsidRDefault="00B26DFF" w:rsidP="00B26DFF">
            <w:pPr>
              <w:jc w:val="center"/>
              <w:rPr>
                <w:sz w:val="28"/>
                <w:szCs w:val="28"/>
              </w:rPr>
            </w:pPr>
            <w:r w:rsidRPr="000718C5">
              <w:rPr>
                <w:sz w:val="28"/>
                <w:szCs w:val="28"/>
              </w:rPr>
              <w:t>1,4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1,55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0,55</w:t>
            </w:r>
          </w:p>
        </w:tc>
        <w:tc>
          <w:tcPr>
            <w:tcW w:w="958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0,56</w:t>
            </w:r>
          </w:p>
        </w:tc>
      </w:tr>
      <w:tr w:rsidR="00B26DFF" w:rsidTr="00B26DFF">
        <w:tc>
          <w:tcPr>
            <w:tcW w:w="957" w:type="dxa"/>
            <w:vAlign w:val="center"/>
          </w:tcPr>
          <w:p w:rsidR="00B26DFF" w:rsidRPr="001B4721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957" w:type="dxa"/>
            <w:vAlign w:val="center"/>
          </w:tcPr>
          <w:p w:rsidR="00B26DFF" w:rsidRPr="000718C5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3,4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3,6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  <w:tc>
          <w:tcPr>
            <w:tcW w:w="957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0,58</w:t>
            </w:r>
          </w:p>
        </w:tc>
        <w:tc>
          <w:tcPr>
            <w:tcW w:w="958" w:type="dxa"/>
            <w:vAlign w:val="center"/>
          </w:tcPr>
          <w:p w:rsidR="00B26DFF" w:rsidRPr="00D67030" w:rsidRDefault="00B26DFF" w:rsidP="00B26D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</w:tr>
    </w:tbl>
    <w:p w:rsidR="00BF5708" w:rsidRPr="00002A4D" w:rsidRDefault="00225DA8" w:rsidP="00691F10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25D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691F10" w:rsidRDefault="00691F1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pPr w:leftFromText="180" w:rightFromText="180" w:vertAnchor="text" w:horzAnchor="margin" w:tblpXSpec="center" w:tblpY="595"/>
        <w:tblW w:w="10026" w:type="dxa"/>
        <w:tblLook w:val="04A0"/>
      </w:tblPr>
      <w:tblGrid>
        <w:gridCol w:w="1295"/>
        <w:gridCol w:w="1311"/>
        <w:gridCol w:w="1295"/>
        <w:gridCol w:w="1311"/>
        <w:gridCol w:w="1295"/>
        <w:gridCol w:w="1311"/>
        <w:gridCol w:w="1357"/>
        <w:gridCol w:w="851"/>
      </w:tblGrid>
      <w:tr w:rsidR="00B26DFF" w:rsidTr="00B26DFF"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Default="005D3814" w:rsidP="00B26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р1н1</m:t>
                  </m:r>
                </m:sub>
                <m:sup/>
              </m:sSubSup>
            </m:oMath>
            <w:r w:rsidR="00B26DFF">
              <w:rPr>
                <w:rFonts w:eastAsiaTheme="minorEastAsia"/>
                <w:sz w:val="28"/>
                <w:szCs w:val="28"/>
              </w:rPr>
              <w:t>,О</w:t>
            </w:r>
            <w:r w:rsidR="00B26DFF"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Default="005D3814" w:rsidP="00B26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р1н2</m:t>
                  </m:r>
                </m:sub>
                <m:sup/>
              </m:sSubSup>
            </m:oMath>
            <w:r w:rsidR="00B26DFF">
              <w:rPr>
                <w:rFonts w:eastAsiaTheme="minorEastAsia"/>
                <w:sz w:val="28"/>
                <w:szCs w:val="28"/>
              </w:rPr>
              <w:t>,</w:t>
            </w:r>
            <w:r w:rsidR="00B26DFF">
              <w:rPr>
                <w:rFonts w:ascii="Times New Roman" w:eastAsiaTheme="minorEastAsia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Default="005D3814" w:rsidP="00B26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р2н3</m:t>
                  </m:r>
                </m:sub>
                <m:sup/>
              </m:sSubSup>
            </m:oMath>
            <w:r w:rsidR="00B26DFF">
              <w:rPr>
                <w:rFonts w:eastAsiaTheme="minorEastAsia"/>
                <w:sz w:val="28"/>
                <w:szCs w:val="28"/>
              </w:rPr>
              <w:t>,О</w:t>
            </w:r>
            <w:r w:rsidR="00B26DFF"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Default="005D3814" w:rsidP="00B26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р2н4</m:t>
                  </m:r>
                </m:sub>
                <m:sup/>
              </m:sSubSup>
            </m:oMath>
            <w:r w:rsidR="00B26DFF">
              <w:rPr>
                <w:rFonts w:eastAsiaTheme="minorEastAsia"/>
                <w:sz w:val="28"/>
                <w:szCs w:val="28"/>
              </w:rPr>
              <w:t>,</w:t>
            </w:r>
            <w:r w:rsidR="00B26DFF">
              <w:rPr>
                <w:rFonts w:ascii="Times New Roman" w:eastAsiaTheme="minorEastAsia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Default="005D3814" w:rsidP="00B26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р3н1</m:t>
                  </m:r>
                </m:sub>
                <m:sup/>
              </m:sSubSup>
            </m:oMath>
            <w:r w:rsidR="00B26DFF">
              <w:rPr>
                <w:rFonts w:eastAsiaTheme="minorEastAsia"/>
                <w:sz w:val="28"/>
                <w:szCs w:val="28"/>
              </w:rPr>
              <w:t>,О</w:t>
            </w:r>
            <w:r w:rsidR="00B26DFF"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Default="005D3814" w:rsidP="00B26DFF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р3н2</m:t>
                  </m:r>
                </m:sub>
                <m:sup/>
              </m:sSubSup>
            </m:oMath>
            <w:r w:rsidR="00B26DFF">
              <w:rPr>
                <w:rFonts w:eastAsiaTheme="minorEastAsia"/>
                <w:sz w:val="28"/>
                <w:szCs w:val="28"/>
              </w:rPr>
              <w:t>,</w:t>
            </w:r>
            <w:r w:rsidR="00B26DFF">
              <w:rPr>
                <w:rFonts w:ascii="Times New Roman" w:eastAsiaTheme="minorEastAsia" w:hAnsi="Times New Roman" w:cs="Times New Roman"/>
                <w:sz w:val="28"/>
                <w:szCs w:val="28"/>
              </w:rPr>
              <w:t>Ом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Default="005D3814" w:rsidP="00B26DF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р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sub>
                  <m:sup/>
                </m:sSub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Ом</m:t>
                </m:r>
              </m:oMath>
            </m:oMathPara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DFF" w:rsidRPr="00844BFF" w:rsidRDefault="005D3814" w:rsidP="00B26DFF">
            <w:pPr>
              <w:rPr>
                <w:i/>
                <w:sz w:val="28"/>
                <w:szCs w:val="28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р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н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4</m:t>
                    </m:r>
                  </m:sub>
                  <m:sup/>
                </m:sSubSup>
              </m:oMath>
            </m:oMathPara>
          </w:p>
        </w:tc>
      </w:tr>
      <w:tr w:rsidR="00B26DFF" w:rsidTr="00B26DFF"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67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63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59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57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64</w:t>
            </w:r>
          </w:p>
        </w:tc>
      </w:tr>
      <w:tr w:rsidR="00B26DFF" w:rsidTr="00B26DFF"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57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60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64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54</w:t>
            </w: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94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</w:p>
        </w:tc>
      </w:tr>
      <w:tr w:rsidR="00B26DFF" w:rsidTr="00B26DFF"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Pr="00B26DFF" w:rsidRDefault="00B26DFF" w:rsidP="00B2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26DFF" w:rsidRDefault="00B26DFF" w:rsidP="00B26DFF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691F10" w:rsidRDefault="005D38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046" style="position:absolute;margin-left:57.35pt;margin-top:18.85pt;width:518.8pt;height:802.3pt;z-index:251659264;mso-position-horizontal-relative:page;mso-position-vertical-relative:page" coordsize="20000,20000" o:allowincell="f">
            <v:rect id="_x0000_s1047" style="position:absolute;width:20000;height:20000" filled="f" strokeweight="2pt"/>
            <v:line id="_x0000_s1048" style="position:absolute" from="1093,18949" to="1095,19989" strokeweight="2pt"/>
            <v:line id="_x0000_s1049" style="position:absolute" from="10,18941" to="19977,18942" strokeweight="2pt"/>
            <v:line id="_x0000_s1050" style="position:absolute" from="2186,18949" to="2188,19989" strokeweight="2pt"/>
            <v:line id="_x0000_s1051" style="position:absolute" from="4919,18949" to="4921,19989" strokeweight="2pt"/>
            <v:line id="_x0000_s1052" style="position:absolute" from="6557,18959" to="6559,19989" strokeweight="2pt"/>
            <v:line id="_x0000_s1053" style="position:absolute" from="7650,18949" to="7652,19979" strokeweight="2pt"/>
            <v:line id="_x0000_s1054" style="position:absolute" from="18905,18949" to="18909,19989" strokeweight="2pt"/>
            <v:line id="_x0000_s1055" style="position:absolute" from="10,19293" to="7631,19295" strokeweight="1pt"/>
            <v:line id="_x0000_s1056" style="position:absolute" from="10,19646" to="7631,19647" strokeweight="2pt"/>
            <v:line id="_x0000_s1057" style="position:absolute" from="18919,19296" to="19990,19297" strokeweight="1pt"/>
            <v:rect id="_x0000_s1058" style="position:absolute;left:54;top:19660;width:1000;height:309" filled="f" stroked="f" strokeweight=".25pt">
              <v:textbox style="mso-next-textbox:#_x0000_s1058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59" style="position:absolute;left:1139;top:19660;width:1001;height:309" filled="f" stroked="f" strokeweight=".25pt">
              <v:textbox style="mso-next-textbox:#_x0000_s1059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60" style="position:absolute;left:2267;top:19660;width:2573;height:309" filled="f" stroked="f" strokeweight=".25pt">
              <v:textbox style="mso-next-textbox:#_x0000_s1060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61" style="position:absolute;left:4983;top:19660;width:1534;height:309" filled="f" stroked="f" strokeweight=".25pt">
              <v:textbox style="mso-next-textbox:#_x0000_s1061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62" style="position:absolute;left:6604;top:19660;width:1000;height:309" filled="f" stroked="f" strokeweight=".25pt">
              <v:textbox style="mso-next-textbox:#_x0000_s1062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18949;top:18977;width:1001;height:309" filled="f" stroked="f" strokeweight=".25pt">
              <v:textbox style="mso-next-textbox:#_x0000_s1063" inset="1pt,1pt,1pt,1pt">
                <w:txbxContent>
                  <w:p w:rsidR="00225DA8" w:rsidRDefault="00225DA8" w:rsidP="00225DA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64" style="position:absolute;left:18949;top:19435;width:1001;height:423" filled="f" stroked="f" strokeweight=".25pt">
              <v:textbox style="mso-next-textbox:#_x0000_s1064" inset="1pt,1pt,1pt,1pt">
                <w:txbxContent>
                  <w:p w:rsidR="00225DA8" w:rsidRPr="00E972A8" w:rsidRDefault="00E972A8" w:rsidP="00225DA8">
                    <w:pPr>
                      <w:pStyle w:val="a6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en-US"/>
                      </w:rPr>
                      <w:t>3</w:t>
                    </w:r>
                  </w:p>
                  <w:p w:rsidR="00225DA8" w:rsidRPr="00EB47E7" w:rsidRDefault="00225DA8" w:rsidP="00225DA8">
                    <w:pPr>
                      <w:pStyle w:val="a6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65" style="position:absolute;left:7745;top:19221;width:11075;height:477" filled="f" stroked="f" strokeweight=".25pt">
              <v:textbox style="mso-next-textbox:#_x0000_s1065" inset="1pt,1pt,1pt,1pt">
                <w:txbxContent>
                  <w:p w:rsidR="00225DA8" w:rsidRPr="00410658" w:rsidRDefault="00225DA8" w:rsidP="00225DA8">
                    <w:pPr>
                      <w:pStyle w:val="a6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5. 092505 30 04</w:t>
                    </w:r>
                    <w:r w:rsidRPr="00410658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 - ЛР</w:t>
                    </w:r>
                  </w:p>
                  <w:p w:rsidR="00225DA8" w:rsidRPr="00EB47E7" w:rsidRDefault="00225DA8" w:rsidP="00225DA8">
                    <w:pPr>
                      <w:pStyle w:val="a6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B26DFF">
        <w:rPr>
          <w:rFonts w:ascii="Times New Roman" w:hAnsi="Times New Roman" w:cs="Times New Roman"/>
          <w:sz w:val="28"/>
          <w:szCs w:val="28"/>
          <w:lang w:val="uk-UA"/>
        </w:rPr>
        <w:t>Таблиця2</w:t>
      </w:r>
    </w:p>
    <w:p w:rsidR="00B26DFF" w:rsidRDefault="00B26DF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26DFF" w:rsidRPr="00691F10" w:rsidRDefault="00B26DF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Висновок:   ізоляція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відповідає  нормі, але  потребує  підсиленого  догляду.</w:t>
      </w:r>
    </w:p>
    <w:sectPr w:rsidR="00B26DFF" w:rsidRPr="00691F10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F10"/>
    <w:rsid w:val="00002A4D"/>
    <w:rsid w:val="0012481E"/>
    <w:rsid w:val="00225DA8"/>
    <w:rsid w:val="00280C21"/>
    <w:rsid w:val="00510441"/>
    <w:rsid w:val="005248B6"/>
    <w:rsid w:val="005D3814"/>
    <w:rsid w:val="00691F10"/>
    <w:rsid w:val="00904812"/>
    <w:rsid w:val="00936B2E"/>
    <w:rsid w:val="00B26DFF"/>
    <w:rsid w:val="00BF5708"/>
    <w:rsid w:val="00E9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1F1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91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F10"/>
    <w:rPr>
      <w:rFonts w:ascii="Tahoma" w:hAnsi="Tahoma" w:cs="Tahoma"/>
      <w:sz w:val="16"/>
      <w:szCs w:val="16"/>
    </w:rPr>
  </w:style>
  <w:style w:type="paragraph" w:customStyle="1" w:styleId="a6">
    <w:name w:val="Чертежный"/>
    <w:rsid w:val="00225DA8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styleId="a7">
    <w:name w:val="Table Grid"/>
    <w:basedOn w:val="a1"/>
    <w:uiPriority w:val="59"/>
    <w:rsid w:val="00B26D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5</cp:revision>
  <dcterms:created xsi:type="dcterms:W3CDTF">2009-04-27T18:39:00Z</dcterms:created>
  <dcterms:modified xsi:type="dcterms:W3CDTF">2009-04-28T18:43:00Z</dcterms:modified>
</cp:coreProperties>
</file>